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5B5" w:rsidRPr="004904D1" w:rsidRDefault="002065B5" w:rsidP="002065B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Лекция 2. Основные параметры сигналов, передаваемых по радиорелейным линиям</w:t>
      </w:r>
    </w:p>
    <w:p w:rsidR="002065B5" w:rsidRPr="004904D1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5" w:anchor="2.1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2.1. Параметры многоканального телефонного сообщения</w:t>
        </w:r>
      </w:hyperlink>
    </w:p>
    <w:p w:rsidR="002065B5" w:rsidRPr="004904D1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6" w:anchor="2.2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2.2. Параметры телевизионного сигнала</w:t>
        </w:r>
      </w:hyperlink>
    </w:p>
    <w:p w:rsid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7" w:anchor="2.3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2.3. Линейные цифровые сигналы</w:t>
        </w:r>
      </w:hyperlink>
    </w:p>
    <w:p w:rsid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4904D1" w:rsidRDefault="002065B5" w:rsidP="002065B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hyperlink r:id="rId8" w:anchor="2.1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2.1. Параметры многоканального телефонного сообщения</w:t>
        </w:r>
      </w:hyperlink>
    </w:p>
    <w:p w:rsidR="002065B5" w:rsidRPr="002065B5" w:rsidRDefault="002065B5" w:rsidP="002065B5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0" w:name="_GoBack"/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Телефонные сигналы, поступающие в каналы ТЧ, на выходе АСП с ЧРК образуют МТС, который представляет собой случайный процесс. При достаточно большом числе каналов (N&gt;60) МТС представляет собой нормальный случайный процесс. Сигналы в каждом канале не зависят от остальных, следовательно, средняя мощность МТС (Pср) равна сумме средних мощностей сигналов активных каналов. В таком случае уровень средней мощности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E8BF1CD" wp14:editId="79C814D2">
            <wp:extent cx="1285875" cy="228600"/>
            <wp:effectExtent l="0" t="0" r="9525" b="0"/>
            <wp:docPr id="2" name="Picture 2" descr="https://siblec.ru/img/53/img/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siblec.ru/img/53/img/Image22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МТС (в дБм):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BD3A3D8" wp14:editId="51414A25">
            <wp:extent cx="1257300" cy="228600"/>
            <wp:effectExtent l="0" t="0" r="0" b="0"/>
            <wp:docPr id="3" name="Picture 3" descr="https://siblec.ru/img/53/img/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siblec.ru/img/53/img/Image22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— для цепей МСЭ; (2.2)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0C63B84" wp14:editId="5FE61B21">
            <wp:extent cx="1257300" cy="228600"/>
            <wp:effectExtent l="0" t="0" r="0" b="0"/>
            <wp:docPr id="4" name="Picture 4" descr="https://siblec.ru/img/53/img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siblec.ru/img/53/img/Image225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—для цепей ВСС РФ; (2.3)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При меньшем числе в час наибольшей загрузки в ТНОУ уровень средней мощности МТС (в дБм):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9ABBB93" wp14:editId="6C47B02B">
            <wp:extent cx="1095375" cy="228600"/>
            <wp:effectExtent l="0" t="0" r="9525" b="0"/>
            <wp:docPr id="5" name="Picture 5" descr="https://siblec.ru/img/53/img/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siblec.ru/img/53/img/Image22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,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53E638D" wp14:editId="157DCA81">
            <wp:extent cx="828675" cy="171450"/>
            <wp:effectExtent l="0" t="0" r="9525" b="0"/>
            <wp:docPr id="6" name="Picture 6" descr="https://siblec.ru/img/53/img/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siblec.ru/img/53/img/Image227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Пик-фактор МТС (c ) был определен экспериментально. Установлено, что при передаче 240 ТФ каналов c =8,55 дБ при e =1% и c =10,8 дБ при e =0,1%. С ростом N пик-фактор уменьшается. При проектировании аппаратуры РРЛ (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5CE65C5" wp14:editId="2A23052B">
            <wp:extent cx="542925" cy="171450"/>
            <wp:effectExtent l="0" t="0" r="9525" b="0"/>
            <wp:docPr id="7" name="Picture 7" descr="https://siblec.ru/img/53/img/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siblec.ru/img/53/img/Image228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) принимают c =10 дБ. Соответствующий этому значению c уровень пиковой мощности называют квазипиковым. Таким образом, квазипиковая мощность МТС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Pпик=10Рср. (2.4)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Спектр МТС совпадает с линейным спектром системы передачи, т. е. он сосредоточен в полосе D F=FB — FH, где FB и FH — верхняя и нижняя частоты линейного спектра соответственно. Хотя в спектре МТС есть ЗЧИ, принято считать, что он равномерен.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1" w:name="2.1"/>
      <w:bookmarkEnd w:id="1"/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2.1. Параметры сигнала, передаваемого по ТФ стволу аналоговой РРЛ с ЧМ</w:t>
      </w:r>
    </w:p>
    <w:p w:rsidR="002065B5" w:rsidRPr="002065B5" w:rsidRDefault="002065B5" w:rsidP="002065B5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Многоканальный телефонный сигнал u(t) поступает на частотный модулятор (ЧМД) ОРС. Частота сигнала на выходе модулятора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C8A0ADB" wp14:editId="76CF2AED">
            <wp:extent cx="114300" cy="209550"/>
            <wp:effectExtent l="0" t="0" r="0" b="0"/>
            <wp:docPr id="8" name="Picture 8" descr="https://siblec.ru/img/53/img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siblec.ru/img/53/img/Image22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4AECF38" wp14:editId="41505A68">
            <wp:extent cx="1409700" cy="228600"/>
            <wp:effectExtent l="0" t="0" r="0" b="0"/>
            <wp:docPr id="9" name="Picture 9" descr="https://siblec.ru/img/53/img/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siblec.ru/img/53/img/Image23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(2.4)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где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2A91110" wp14:editId="6B005F03">
            <wp:extent cx="200025" cy="228600"/>
            <wp:effectExtent l="0" t="0" r="9525" b="0"/>
            <wp:docPr id="10" name="Picture 10" descr="https://siblec.ru/img/53/img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siblec.ru/img/53/img/Image23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— центральная частота;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849EBE1" wp14:editId="16EADEE6">
            <wp:extent cx="323850" cy="228600"/>
            <wp:effectExtent l="0" t="0" r="0" b="0"/>
            <wp:docPr id="11" name="Picture 11" descr="https://siblec.ru/img/53/img/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siblec.ru/img/53/img/Image232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— максимальная девиация частоты;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B75CDF5" wp14:editId="016B16E2">
            <wp:extent cx="514350" cy="247650"/>
            <wp:effectExtent l="0" t="0" r="0" b="0"/>
            <wp:docPr id="12" name="Picture 12" descr="https://siblec.ru/img/53/img/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siblec.ru/img/53/img/Image233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Фаза ЧМ сигнала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4599EA4" wp14:editId="7D27B871">
            <wp:extent cx="1095375" cy="276225"/>
            <wp:effectExtent l="0" t="0" r="9525" b="9525"/>
            <wp:docPr id="13" name="Picture 13" descr="https://siblec.ru/img/53/img/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s://siblec.ru/img/53/img/Image234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Подставив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7DBBB98" wp14:editId="43B8B06D">
            <wp:extent cx="304800" cy="190500"/>
            <wp:effectExtent l="0" t="0" r="0" b="0"/>
            <wp:docPr id="14" name="Picture 14" descr="https://siblec.ru/img/53/img/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siblec.ru/img/53/img/Image235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, получим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F552954" wp14:editId="211F4C4A">
            <wp:extent cx="1695450" cy="276225"/>
            <wp:effectExtent l="0" t="0" r="0" b="9525"/>
            <wp:docPr id="15" name="Picture 15" descr="https://siblec.ru/img/53/img/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siblec.ru/img/53/img/Image236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Частотно-модулированное колебание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8BE8561" wp14:editId="500FB38D">
            <wp:extent cx="1600200" cy="342900"/>
            <wp:effectExtent l="0" t="0" r="0" b="0"/>
            <wp:docPr id="16" name="Picture 16" descr="https://siblec.ru/img/53/img/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siblec.ru/img/53/img/Image23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, где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56815D9" wp14:editId="051ACF59">
            <wp:extent cx="209550" cy="228600"/>
            <wp:effectExtent l="0" t="0" r="0" b="0"/>
            <wp:docPr id="17" name="Picture 17" descr="https://siblec.ru/img/53/img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siblec.ru/img/53/img/Image238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- амплитуда СВЧ сигнала. Таким образом, по РРЛ с ЧМ передают сигнал вида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0912E92" wp14:editId="0CB47B72">
            <wp:extent cx="2305050" cy="276225"/>
            <wp:effectExtent l="0" t="0" r="0" b="9525"/>
            <wp:docPr id="18" name="Picture 18" descr="https://siblec.ru/img/53/img/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siblec.ru/img/53/img/Image239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(2.7)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На выходе ЧМД девиация частоты пропорциональна напряжению входного сигнала Uвх. Аналитическая запись в виде (2.5) и (2.6) предполагает, что крутизна передаточной модуляционной характеристики идеального ЧМД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2F0872E" wp14:editId="607E9D1E">
            <wp:extent cx="1219200" cy="228600"/>
            <wp:effectExtent l="0" t="0" r="0" b="0"/>
            <wp:docPr id="19" name="Picture 19" descr="https://siblec.ru/img/53/img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siblec.ru/img/53/img/Image240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(2.8)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Таблица 2.1.</w:t>
      </w:r>
    </w:p>
    <w:tbl>
      <w:tblPr>
        <w:tblW w:w="7095" w:type="dxa"/>
        <w:tblInd w:w="13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46"/>
        <w:gridCol w:w="710"/>
        <w:gridCol w:w="922"/>
        <w:gridCol w:w="1064"/>
        <w:gridCol w:w="851"/>
        <w:gridCol w:w="851"/>
        <w:gridCol w:w="851"/>
      </w:tblGrid>
      <w:tr w:rsidR="002065B5" w:rsidRPr="002065B5" w:rsidTr="0076545D">
        <w:trPr>
          <w:trHeight w:val="705"/>
        </w:trPr>
        <w:tc>
          <w:tcPr>
            <w:tcW w:w="130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50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300</w:t>
            </w:r>
          </w:p>
        </w:tc>
        <w:tc>
          <w:tcPr>
            <w:tcW w:w="65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600</w:t>
            </w:r>
          </w:p>
        </w:tc>
        <w:tc>
          <w:tcPr>
            <w:tcW w:w="75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720</w:t>
            </w:r>
          </w:p>
        </w:tc>
        <w:tc>
          <w:tcPr>
            <w:tcW w:w="60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1020</w:t>
            </w:r>
          </w:p>
        </w:tc>
        <w:tc>
          <w:tcPr>
            <w:tcW w:w="60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1320</w:t>
            </w:r>
          </w:p>
        </w:tc>
        <w:tc>
          <w:tcPr>
            <w:tcW w:w="600" w:type="pct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1920</w:t>
            </w:r>
          </w:p>
        </w:tc>
      </w:tr>
      <w:tr w:rsidR="002065B5" w:rsidRPr="002065B5" w:rsidTr="0076545D"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FB, кГц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1300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254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1340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463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5932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8524</w:t>
            </w:r>
          </w:p>
        </w:tc>
      </w:tr>
      <w:tr w:rsidR="002065B5" w:rsidRPr="002065B5" w:rsidTr="0076545D"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45E6496" wp14:editId="6445B36B">
                  <wp:extent cx="266700" cy="209550"/>
                  <wp:effectExtent l="0" t="0" r="0" b="0"/>
                  <wp:docPr id="20" name="Picture 20" descr="https://siblec.ru/img/53/img/Image24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s://siblec.ru/img/53/img/Image24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, кГц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140</w:t>
            </w:r>
          </w:p>
        </w:tc>
      </w:tr>
      <w:tr w:rsidR="002065B5" w:rsidRPr="002065B5" w:rsidTr="0076545D"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pcp, мВт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96</w:t>
            </w:r>
          </w:p>
        </w:tc>
      </w:tr>
      <w:tr w:rsidR="002065B5" w:rsidRPr="002065B5" w:rsidTr="0076545D"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01037C" wp14:editId="7EEF904C">
                  <wp:extent cx="266700" cy="228600"/>
                  <wp:effectExtent l="0" t="0" r="0" b="0"/>
                  <wp:docPr id="21" name="Picture 21" descr="https://siblec.ru/img/53/img/Image24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s://siblec.ru/img/53/img/Image24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, кГц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775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1096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1200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1428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1137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1372</w:t>
            </w:r>
          </w:p>
        </w:tc>
      </w:tr>
      <w:tr w:rsidR="002065B5" w:rsidRPr="002065B5" w:rsidTr="0076545D"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ПЧМ, МГц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7,7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12,3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14,6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18,7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19,4</w:t>
            </w:r>
          </w:p>
        </w:tc>
        <w:tc>
          <w:tcPr>
            <w:tcW w:w="0" w:type="auto"/>
            <w:shd w:val="clear" w:color="auto" w:fill="F2EFE9"/>
            <w:vAlign w:val="center"/>
            <w:hideMark/>
          </w:tcPr>
          <w:p w:rsidR="002065B5" w:rsidRPr="002065B5" w:rsidRDefault="002065B5" w:rsidP="0076545D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065B5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26</w:t>
            </w:r>
          </w:p>
        </w:tc>
      </w:tr>
    </w:tbl>
    <w:p w:rsidR="002065B5" w:rsidRPr="002065B5" w:rsidRDefault="002065B5" w:rsidP="002065B5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На практике при сопряжении АСП и АРРС устанавливают крутизну характеристики ЧМД по измерительному сигналу. Последний представляет собой гармоническое колебание с частотой 800 Гц и мощностью Рк=1 мВт, которой соответствует действующее напряжение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77FB529" wp14:editId="0955C1FC">
            <wp:extent cx="857250" cy="247650"/>
            <wp:effectExtent l="0" t="0" r="0" b="0"/>
            <wp:docPr id="22" name="Picture 22" descr="https://siblec.ru/img/53/img/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siblec.ru/img/53/img/Image243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. При подаче этого сигнала в канал ТЧ в ТНОУ на выходе ЧМД устанавливают эффективное измерительное значение девиации частоты на канал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9FF9D17" wp14:editId="1E3A4C35">
            <wp:extent cx="266700" cy="209550"/>
            <wp:effectExtent l="0" t="0" r="0" b="0"/>
            <wp:docPr id="23" name="Picture 23" descr="https://siblec.ru/img/53/img/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siblec.ru/img/53/img/Image241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, рекомендованное МККР (табл. 2.1). В таком случае крутизна модуляционной характеристики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D8A405B" wp14:editId="7BD3B840">
            <wp:extent cx="2190750" cy="247650"/>
            <wp:effectExtent l="0" t="0" r="0" b="0"/>
            <wp:docPr id="24" name="Picture 24" descr="https://siblec.ru/img/53/img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siblec.ru/img/53/img/Image244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Если теперь на вход модулятора, в ТНОУ, подать гармонический сигнал мощностью Рcp (или действующим напряжением uср) и частотой FK, которая лежит между FH и FB, то эффективное значение отклонения частоты на выходе модулятора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4505D40" wp14:editId="1A16063E">
            <wp:extent cx="3819525" cy="266700"/>
            <wp:effectExtent l="0" t="0" r="9525" b="0"/>
            <wp:docPr id="25" name="Picture 25" descr="https://siblec.ru/img/53/img/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siblec.ru/img/53/img/Image245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Для круговых частот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9FA2F85" wp14:editId="6DFDE797">
            <wp:extent cx="1000125" cy="266700"/>
            <wp:effectExtent l="0" t="0" r="9525" b="0"/>
            <wp:docPr id="26" name="Picture 26" descr="https://siblec.ru/img/53/img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siblec.ru/img/53/img/Image246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(2.9)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где fcp выражена в милливаттах. Это значение соответствует средней мощности МТС и называется эффективной девиацией частоты МТС. Аналогично может быть определена соответствующая квазипиковой мощности МТС пиковая девиация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0AA89BC" wp14:editId="6972D121">
            <wp:extent cx="1724025" cy="247650"/>
            <wp:effectExtent l="0" t="0" r="9525" b="0"/>
            <wp:docPr id="27" name="Picture 27" descr="https://siblec.ru/img/53/img/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s://siblec.ru/img/53/img/Image24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Согласно (2.4) и (2.9)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4CDC50A" wp14:editId="150CF99C">
            <wp:extent cx="1581150" cy="247650"/>
            <wp:effectExtent l="0" t="0" r="0" b="0"/>
            <wp:docPr id="28" name="Picture 28" descr="https://siblec.ru/img/53/img/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s://siblec.ru/img/53/img/Image248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(2.10)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Ширину спектра сигнала на выходе ЧМД определяют по выражению, в котором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DD09B95" wp14:editId="36ED68AA">
            <wp:extent cx="800100" cy="228600"/>
            <wp:effectExtent l="0" t="0" r="0" b="0"/>
            <wp:docPr id="29" name="Picture 29" descr="https://siblec.ru/img/53/img/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s://siblec.ru/img/53/img/Image249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CD50AD0" wp14:editId="240CAB3A">
            <wp:extent cx="1257300" cy="228600"/>
            <wp:effectExtent l="0" t="0" r="0" b="0"/>
            <wp:docPr id="30" name="Picture 30" descr="https://siblec.ru/img/53/img/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s://siblec.ru/img/53/img/Image250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(2.11)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Из рекомендаций МСЭ следует, что D fK=200 кГц при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511857F" wp14:editId="5C3B202B">
            <wp:extent cx="990600" cy="171450"/>
            <wp:effectExtent l="0" t="0" r="0" b="0"/>
            <wp:docPr id="31" name="Picture 31" descr="https://siblec.ru/img/53/img/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s://siblec.ru/img/53/img/Image251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; DfK=140 кГц при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34DF2F3" wp14:editId="406E529B">
            <wp:extent cx="609600" cy="171450"/>
            <wp:effectExtent l="0" t="0" r="0" b="0"/>
            <wp:docPr id="32" name="Picture 32" descr="https://siblec.ru/img/53/img/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s://siblec.ru/img/53/img/Image252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. Для систем, имеющих N=2700 и более, МКК.Р рекомендует выбирать DfК из двух значений 140 и 100 кГц, а для систем, в которых N=60; 120 — из трех значений девиации 50; 100; 200 кГц. В отечественных системах, где N=1020, часто устанавливают DfK=200 кГц.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В табл. 2.1 приведены результаты расчетов параметров для не которых отечественных систем. Загрузка рассчитывалась по (2.3б). Результаты табл. 2.1 показывают, что любой из рассмотренных сигналов может быть передан по широкополосному стволу РРЛ с полосой пропускания 28 МГц.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2" w:name="2.2"/>
      <w:bookmarkEnd w:id="2"/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2.2. Параметры телевизионного сигнала</w:t>
      </w:r>
    </w:p>
    <w:p w:rsidR="002065B5" w:rsidRPr="002065B5" w:rsidRDefault="002065B5" w:rsidP="002065B5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lastRenderedPageBreak/>
        <w:t>В соответствии с рекомендациями МККР при подаче на ЧМД полного ТВ сигнала на его выходе должен быть установлен полный размах частоты D fp=8 МГц. Размаху сигнала от уровня черного до уровня белого соответствует размах частоты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363E796" wp14:editId="0AB8592F">
            <wp:extent cx="1952625" cy="228600"/>
            <wp:effectExtent l="0" t="0" r="9525" b="0"/>
            <wp:docPr id="33" name="Picture 33" descr="https://siblec.ru/img/53/img/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s://siblec.ru/img/53/img/Image253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При смене сюжета на входе модулятора изменяются положительные и отрицательные значения уровней сигнала. Получается, что ПТВС “ползает” по передаточной характеристике ЧМД, из-за чего она должна иметь линейный участок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D4224EF" wp14:editId="4D8FBBE4">
            <wp:extent cx="1409700" cy="228600"/>
            <wp:effectExtent l="0" t="0" r="0" b="0"/>
            <wp:docPr id="34" name="Picture 34" descr="https://siblec.ru/img/53/img/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s://siblec.ru/img/53/img/Image254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. Реализация такого модулятора достаточно сложна. Облегчить требования к передаточной характеристике ЧМД в ТВ стволе позволяет предыскажающий контур, устанавливаемый на входе ЧМД. Этот ПК ослабляет компоненты сигнала на частотах ниже 1,5 МГц, в том числе колебания строчной частоты и ее гармоник, и как бы “симметрирует” ПТВС. В результате при смене сюжета ПТВС остается “привязанным” к центру передаточной характеристики ЧМД.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3" w:name="2.3"/>
      <w:bookmarkEnd w:id="3"/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2.3. Линейный цифровой сигнал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Любой ЛЦС — случайная последовательность импульсов. Его спектр принято определять для случая равной вероятности появления символов 1 и 0 в кодовой группе. Спектр ЛЦС зависит от выбранного кода и скорости передачи. При формировании ЛЦС применяют бинарные и квазитроичные коды (рис. 2.1, где U - амплитуда импульса). На каждом тактовом интервале бинарный ЛЦС может принимать одно из двух возможных значений: +1; 0 – для вариантов рис. 2.1, б, в и +1; -1 - при двухполярном ЛЦС. При квазитроичном коде с чередующейся полярностью символы “О” кодируют отсутствием импульсов, а символы 1 поочередно импульсами положительной и отрицательной полярности (рис. 2.1, д, е). Полярность первого импульса устанавливается произвольно. При другом варианте квазитроичного кодирования (рис. 2.1,ж) каждая 1 передается в виде биимпульса. Заметим, что при любом варианте квазитроичного кода ЛЦС представляет собой трехсимвольную импульсную последовательность -1; 0; +1. В то же время кодирование для ЦГС остается двоичным. Алгоритм относительного бинарного кодирования (рис. 2.1,з, и) состоит в следующем. Изменяемый параметр (амплитуду при однополярных импульсах либо полярность при двухполярных) при передаче первого символа ЛЦС устанавливают произвольно. Затем при передаче символа 0 кодовой группы его значение сохраняют таким же, как и для предшествующего символа, а при передаче 1 изменяют на противоположное. Спектральная плотность мощности G2 однополярного ЛЦС (рис. 2.2) в общем случае состоит из постоянной составляющей, непрерывной части и дискретных компонент на частотах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E27F638" wp14:editId="7E1D7464">
            <wp:extent cx="571500" cy="228600"/>
            <wp:effectExtent l="0" t="0" r="0" b="0"/>
            <wp:docPr id="35" name="Picture 35" descr="https://siblec.ru/img/53/img/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s://siblec.ru/img/53/img/Image255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, где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B072D6B" wp14:editId="6D663CE8">
            <wp:extent cx="781050" cy="209550"/>
            <wp:effectExtent l="0" t="0" r="0" b="0"/>
            <wp:docPr id="36" name="Picture 36" descr="https://siblec.ru/img/53/img/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s://siblec.ru/img/53/img/Image256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- первая гармоника частоты следования импульсов или тактовая частота, m=1, 2, 3. Огибающая непрерывной составляющей имеет вид функции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63B84B9" wp14:editId="345F6B2C">
            <wp:extent cx="438150" cy="228600"/>
            <wp:effectExtent l="0" t="0" r="0" b="0"/>
            <wp:docPr id="37" name="Picture 37" descr="https://siblec.ru/img/53/img/Image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s://siblec.ru/img/53/img/Image257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и, следовательно, обращается в ноль на частотах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B9F5924" wp14:editId="3B2B91F8">
            <wp:extent cx="619125" cy="238125"/>
            <wp:effectExtent l="0" t="0" r="9525" b="9525"/>
            <wp:docPr id="38" name="Picture 38" descr="https://siblec.ru/img/53/img/Image2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s://siblec.ru/img/53/img/Image258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. Однако в спектре однополярного сигнала при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18BB369" wp14:editId="376E6E3B">
            <wp:extent cx="361950" cy="171450"/>
            <wp:effectExtent l="0" t="0" r="0" b="0"/>
            <wp:docPr id="39" name="Picture 39" descr="https://siblec.ru/img/53/img/Image2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s://siblec.ru/img/53/img/Image259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дискретных компонент нет, поскольку для него совпадают частоты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28791EC" wp14:editId="45F5BEF6">
            <wp:extent cx="457200" cy="238125"/>
            <wp:effectExtent l="0" t="0" r="0" b="9525"/>
            <wp:docPr id="40" name="Picture 40" descr="https://siblec.ru/img/53/img/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s://siblec.ru/img/53/img/Image260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. При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FABADFE" wp14:editId="783EE62D">
            <wp:extent cx="552450" cy="171450"/>
            <wp:effectExtent l="0" t="0" r="0" b="0"/>
            <wp:docPr id="41" name="Picture 41" descr="https://siblec.ru/img/53/img/Image2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s://siblec.ru/img/53/img/Image261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 в спектре появляются дискретные компоненты на тактовой частоте и ее нечетные гармониках. В спектре квазитроичного сигнала нет дискретных компонент и постоянной составляющей, а спектральная плотность мощности его непрерывной части G3сконцентрирована в облаете частот, близких к </w:t>
      </w: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01144C2" wp14:editId="51879C6B">
            <wp:extent cx="381000" cy="209550"/>
            <wp:effectExtent l="0" t="0" r="0" b="0"/>
            <wp:docPr id="42" name="Picture 42" descr="https://siblec.ru/img/53/img/Image2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s://siblec.ru/img/53/img/Image262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Выбор кода ЛЦС связан с особенностями передачи его по кабелям. Целесообразно выбрать такой ЛЦС, который не содержит постоянной составляющей и имеет максимум спектральной плотности энергии в области средних частот. Этим требованиям отвечает спектр квазитроичного ЛЦС. Для работы цепей тактовой синхронизации необходимо выделить из ЛЦС колебания тактовой частоты. В спектре квазитроичного ЛЦС нет дискретной составляющей с частотой Ft, а в спектре бинарного ЛЦС с укороченными </w:t>
      </w: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lastRenderedPageBreak/>
        <w:t>импульсами она присутствует. Поэтому для выделения колебаний тактовой частоты на приеме квазитроичный ЛЦС преобразуют в бинарный.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В ИКМ-30 и ИКМ-120 в качестве ЛЦС используется квазитроичная последовательность импульсов. В ЦРРС широко применяют относительное бинарное кодирование.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A889BD2" wp14:editId="45CEB728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548000" cy="2962909"/>
            <wp:effectExtent l="0" t="0" r="0" b="0"/>
            <wp:wrapTight wrapText="bothSides">
              <wp:wrapPolygon edited="0">
                <wp:start x="0" y="0"/>
                <wp:lineTo x="0" y="21392"/>
                <wp:lineTo x="21272" y="21392"/>
                <wp:lineTo x="21272" y="0"/>
                <wp:lineTo x="0" y="0"/>
              </wp:wrapPolygon>
            </wp:wrapTight>
            <wp:docPr id="43" name="Picture 43" descr="Рис 2.1. Кодовая группа (а) и вид ЛЦС в различных кодах: бинарном - однополярный ЛЦС (б), однополярный укороченный (в), биполярный (г); квазитроичном - биполярный (д), биполярный укороченный (е), биполярный с пассивной паузой (ж); относительном бинарном - однополярный (з), биполярный (и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Рис 2.1. Кодовая группа (а) и вид ЛЦС в различных кодах: бинарном - однополярный ЛЦС (б), однополярный укороченный (в), биполярный (г); квазитроичном - биполярный (д), биполярный укороченный (е), биполярный с пассивной паузой (ж); относительном бинарном - однополярный (з), биполярный (и)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000" cy="2962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Рис 2.1. Кодовая группа (а) и вид ЛЦС в различных кодах: бинарном - однополярный ЛЦС (б), однополярный укороченный (в), биполярный (г); квазитроичном - биполярный (д), биполярный укороченный (е), биполярный с пассивной паузой (ж); относительном бинарном - однополярный (з), биполярный (и)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6555AA4" wp14:editId="338308A4">
            <wp:simplePos x="0" y="0"/>
            <wp:positionH relativeFrom="column">
              <wp:posOffset>635</wp:posOffset>
            </wp:positionH>
            <wp:positionV relativeFrom="paragraph">
              <wp:posOffset>-3810</wp:posOffset>
            </wp:positionV>
            <wp:extent cx="1763395" cy="1757680"/>
            <wp:effectExtent l="0" t="0" r="8255" b="0"/>
            <wp:wrapTight wrapText="bothSides">
              <wp:wrapPolygon edited="0">
                <wp:start x="0" y="0"/>
                <wp:lineTo x="0" y="21303"/>
                <wp:lineTo x="21468" y="21303"/>
                <wp:lineTo x="21468" y="0"/>
                <wp:lineTo x="0" y="0"/>
              </wp:wrapPolygon>
            </wp:wrapTight>
            <wp:docPr id="44" name="Picture 44" descr="Рис 2.2. Спектральная плотность мощности ЛЦС однополярного (а), однополярного укороченного (б), и квазитроичного (в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Рис 2.2. Спектральная плотность мощности ЛЦС однополярного (а), однополярного укороченного (б), и квазитроичного (в)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395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Рис 2.2. Спектральная плотность мощности ЛЦС однополярного (а), однополярного укороченного (б), и квазитроичного (в)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Вопросы для самоконтроля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Поясните, как определить основные параметры МТС.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Поясните, как определить измерительное, эффективное и пиковое значения девиации частоты при передаче МТС.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Каково значение ПК на входе модулятора в ТВ стволе?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2065B5">
        <w:rPr>
          <w:rStyle w:val="Strong"/>
          <w:rFonts w:ascii="Times New Roman" w:hAnsi="Times New Roman" w:cs="Times New Roman"/>
          <w:b w:val="0"/>
          <w:sz w:val="24"/>
          <w:szCs w:val="24"/>
        </w:rPr>
        <w:t>Что такое ЛЦС? Чем отличаются ЛЦС в бинарном и квазитроичном кодах, в бинарном и относительном бинарных кодах?</w:t>
      </w:r>
    </w:p>
    <w:p w:rsidR="002065B5" w:rsidRPr="002065B5" w:rsidRDefault="002065B5" w:rsidP="002065B5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bookmarkEnd w:id="0"/>
    <w:p w:rsidR="00007597" w:rsidRPr="002065B5" w:rsidRDefault="002065B5" w:rsidP="002065B5"/>
    <w:sectPr w:rsidR="00007597" w:rsidRPr="00206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FF0"/>
    <w:rsid w:val="002065B5"/>
    <w:rsid w:val="00315C2D"/>
    <w:rsid w:val="008469EB"/>
    <w:rsid w:val="00C22874"/>
    <w:rsid w:val="00C7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5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E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2065B5"/>
    <w:rPr>
      <w:b/>
      <w:bCs/>
    </w:rPr>
  </w:style>
  <w:style w:type="paragraph" w:styleId="NoSpacing">
    <w:name w:val="No Spacing"/>
    <w:uiPriority w:val="1"/>
    <w:qFormat/>
    <w:rsid w:val="002065B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5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E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2065B5"/>
    <w:rPr>
      <w:b/>
      <w:bCs/>
    </w:rPr>
  </w:style>
  <w:style w:type="paragraph" w:styleId="NoSpacing">
    <w:name w:val="No Spacing"/>
    <w:uiPriority w:val="1"/>
    <w:qFormat/>
    <w:rsid w:val="002065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26" Type="http://schemas.openxmlformats.org/officeDocument/2006/relationships/image" Target="media/image18.gif"/><Relationship Id="rId39" Type="http://schemas.openxmlformats.org/officeDocument/2006/relationships/image" Target="media/image31.gif"/><Relationship Id="rId3" Type="http://schemas.openxmlformats.org/officeDocument/2006/relationships/settings" Target="settings.xml"/><Relationship Id="rId21" Type="http://schemas.openxmlformats.org/officeDocument/2006/relationships/image" Target="media/image13.gif"/><Relationship Id="rId34" Type="http://schemas.openxmlformats.org/officeDocument/2006/relationships/image" Target="media/image26.gif"/><Relationship Id="rId42" Type="http://schemas.openxmlformats.org/officeDocument/2006/relationships/image" Target="media/image34.gif"/><Relationship Id="rId47" Type="http://schemas.openxmlformats.org/officeDocument/2006/relationships/image" Target="media/image39.gif"/><Relationship Id="rId50" Type="http://schemas.openxmlformats.org/officeDocument/2006/relationships/image" Target="media/image42.gif"/><Relationship Id="rId7" Type="http://schemas.openxmlformats.org/officeDocument/2006/relationships/hyperlink" Target="https://siblec.ru/telekommunikatsii/sputnikovye-i-radiorelejnye-sistemy-peredachi/2-osnovnye-parametry-signalov-peredavaemykh-po-radiorelejnym-liniyam" TargetMode="Externa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5" Type="http://schemas.openxmlformats.org/officeDocument/2006/relationships/image" Target="media/image17.gif"/><Relationship Id="rId33" Type="http://schemas.openxmlformats.org/officeDocument/2006/relationships/image" Target="media/image25.gif"/><Relationship Id="rId38" Type="http://schemas.openxmlformats.org/officeDocument/2006/relationships/image" Target="media/image30.gif"/><Relationship Id="rId46" Type="http://schemas.openxmlformats.org/officeDocument/2006/relationships/image" Target="media/image38.gif"/><Relationship Id="rId2" Type="http://schemas.microsoft.com/office/2007/relationships/stylesWithEffects" Target="stylesWithEffects.xml"/><Relationship Id="rId16" Type="http://schemas.openxmlformats.org/officeDocument/2006/relationships/image" Target="media/image8.gif"/><Relationship Id="rId20" Type="http://schemas.openxmlformats.org/officeDocument/2006/relationships/image" Target="media/image12.gif"/><Relationship Id="rId29" Type="http://schemas.openxmlformats.org/officeDocument/2006/relationships/image" Target="media/image21.gif"/><Relationship Id="rId41" Type="http://schemas.openxmlformats.org/officeDocument/2006/relationships/image" Target="media/image33.gif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2-osnovnye-parametry-signalov-peredavaemykh-po-radiorelejnym-liniyam" TargetMode="External"/><Relationship Id="rId11" Type="http://schemas.openxmlformats.org/officeDocument/2006/relationships/image" Target="media/image3.gif"/><Relationship Id="rId24" Type="http://schemas.openxmlformats.org/officeDocument/2006/relationships/image" Target="media/image16.gif"/><Relationship Id="rId32" Type="http://schemas.openxmlformats.org/officeDocument/2006/relationships/image" Target="media/image24.gif"/><Relationship Id="rId37" Type="http://schemas.openxmlformats.org/officeDocument/2006/relationships/image" Target="media/image29.gif"/><Relationship Id="rId40" Type="http://schemas.openxmlformats.org/officeDocument/2006/relationships/image" Target="media/image32.gif"/><Relationship Id="rId45" Type="http://schemas.openxmlformats.org/officeDocument/2006/relationships/image" Target="media/image37.gif"/><Relationship Id="rId5" Type="http://schemas.openxmlformats.org/officeDocument/2006/relationships/hyperlink" Target="https://siblec.ru/telekommunikatsii/sputnikovye-i-radiorelejnye-sistemy-peredachi/2-osnovnye-parametry-signalov-peredavaemykh-po-radiorelejnym-liniyam" TargetMode="External"/><Relationship Id="rId15" Type="http://schemas.openxmlformats.org/officeDocument/2006/relationships/image" Target="media/image7.gif"/><Relationship Id="rId23" Type="http://schemas.openxmlformats.org/officeDocument/2006/relationships/image" Target="media/image15.gif"/><Relationship Id="rId28" Type="http://schemas.openxmlformats.org/officeDocument/2006/relationships/image" Target="media/image20.gif"/><Relationship Id="rId36" Type="http://schemas.openxmlformats.org/officeDocument/2006/relationships/image" Target="media/image28.gif"/><Relationship Id="rId49" Type="http://schemas.openxmlformats.org/officeDocument/2006/relationships/image" Target="media/image41.gif"/><Relationship Id="rId10" Type="http://schemas.openxmlformats.org/officeDocument/2006/relationships/image" Target="media/image2.gif"/><Relationship Id="rId19" Type="http://schemas.openxmlformats.org/officeDocument/2006/relationships/image" Target="media/image11.gif"/><Relationship Id="rId31" Type="http://schemas.openxmlformats.org/officeDocument/2006/relationships/image" Target="media/image23.gif"/><Relationship Id="rId44" Type="http://schemas.openxmlformats.org/officeDocument/2006/relationships/image" Target="media/image36.gif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gif"/><Relationship Id="rId14" Type="http://schemas.openxmlformats.org/officeDocument/2006/relationships/image" Target="media/image6.gif"/><Relationship Id="rId22" Type="http://schemas.openxmlformats.org/officeDocument/2006/relationships/image" Target="media/image14.gif"/><Relationship Id="rId27" Type="http://schemas.openxmlformats.org/officeDocument/2006/relationships/image" Target="media/image19.gif"/><Relationship Id="rId30" Type="http://schemas.openxmlformats.org/officeDocument/2006/relationships/image" Target="media/image22.gif"/><Relationship Id="rId35" Type="http://schemas.openxmlformats.org/officeDocument/2006/relationships/image" Target="media/image27.gif"/><Relationship Id="rId43" Type="http://schemas.openxmlformats.org/officeDocument/2006/relationships/image" Target="media/image35.gif"/><Relationship Id="rId48" Type="http://schemas.openxmlformats.org/officeDocument/2006/relationships/image" Target="media/image40.gif"/><Relationship Id="rId8" Type="http://schemas.openxmlformats.org/officeDocument/2006/relationships/hyperlink" Target="https://siblec.ru/telekommunikatsii/sputnikovye-i-radiorelejnye-sistemy-peredachi/2-osnovnye-parametry-signalov-peredavaemykh-po-radiorelejnym-liniyam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1382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2020-09-02T14:07:00Z</dcterms:created>
  <dcterms:modified xsi:type="dcterms:W3CDTF">2020-09-02T16:47:00Z</dcterms:modified>
</cp:coreProperties>
</file>